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1384"/>
        <w:gridCol w:w="7826"/>
      </w:tblGrid>
      <w:tr w:rsidR="00ED3333" w:rsidRPr="00ED3333" w14:paraId="6C3BB634" w14:textId="77777777" w:rsidTr="00DA6A67">
        <w:tc>
          <w:tcPr>
            <w:tcW w:w="1384" w:type="dxa"/>
            <w:shd w:val="clear" w:color="auto" w:fill="D9D9D9" w:themeFill="background1" w:themeFillShade="D9"/>
            <w:vAlign w:val="bottom"/>
          </w:tcPr>
          <w:p w14:paraId="5353B3EC" w14:textId="77777777" w:rsidR="00ED3333" w:rsidRPr="00ED3333" w:rsidRDefault="007D3DE9" w:rsidP="00ED3333">
            <w:pPr>
              <w:rPr>
                <w:b/>
                <w:bCs/>
                <w:sz w:val="28"/>
                <w:szCs w:val="28"/>
              </w:rPr>
            </w:pPr>
            <w:r>
              <w:rPr>
                <w:b/>
                <w:bCs/>
                <w:sz w:val="28"/>
                <w:szCs w:val="28"/>
              </w:rPr>
              <w:t>D.15</w:t>
            </w:r>
          </w:p>
        </w:tc>
        <w:tc>
          <w:tcPr>
            <w:tcW w:w="7826" w:type="dxa"/>
            <w:shd w:val="clear" w:color="auto" w:fill="D9D9D9" w:themeFill="background1" w:themeFillShade="D9"/>
            <w:vAlign w:val="bottom"/>
          </w:tcPr>
          <w:p w14:paraId="4D2A5640" w14:textId="77777777" w:rsidR="00ED3333" w:rsidRPr="00ED3333" w:rsidRDefault="00DA6A67" w:rsidP="00ED3333">
            <w:pPr>
              <w:rPr>
                <w:b/>
                <w:bCs/>
                <w:sz w:val="28"/>
                <w:szCs w:val="28"/>
              </w:rPr>
            </w:pPr>
            <w:r>
              <w:rPr>
                <w:b/>
                <w:bCs/>
                <w:sz w:val="28"/>
                <w:szCs w:val="28"/>
              </w:rPr>
              <w:t>P</w:t>
            </w:r>
            <w:r w:rsidR="00ED3333" w:rsidRPr="00ED3333">
              <w:rPr>
                <w:b/>
                <w:bCs/>
                <w:sz w:val="28"/>
                <w:szCs w:val="28"/>
              </w:rPr>
              <w:t>obytov</w:t>
            </w:r>
            <w:r w:rsidR="007D3DE9">
              <w:rPr>
                <w:b/>
                <w:bCs/>
                <w:sz w:val="28"/>
                <w:szCs w:val="28"/>
              </w:rPr>
              <w:t>ý městský prostor</w:t>
            </w:r>
          </w:p>
        </w:tc>
      </w:tr>
      <w:tr w:rsidR="002F650F" w14:paraId="316B422F" w14:textId="77777777" w:rsidTr="002F650F">
        <w:tc>
          <w:tcPr>
            <w:tcW w:w="1384" w:type="dxa"/>
          </w:tcPr>
          <w:p w14:paraId="49C9EABE" w14:textId="77777777" w:rsidR="002F650F" w:rsidRDefault="00ED3333" w:rsidP="002F650F">
            <w:r>
              <w:t>Úsek</w:t>
            </w:r>
          </w:p>
        </w:tc>
        <w:tc>
          <w:tcPr>
            <w:tcW w:w="7826" w:type="dxa"/>
          </w:tcPr>
          <w:p w14:paraId="623F4C9E" w14:textId="77777777" w:rsidR="002F650F" w:rsidRDefault="007D3DE9" w:rsidP="002F650F">
            <w:r>
              <w:t>D</w:t>
            </w:r>
            <w:r w:rsidRPr="00113E1A">
              <w:t xml:space="preserve"> </w:t>
            </w:r>
            <w:proofErr w:type="gramStart"/>
            <w:r w:rsidRPr="00113E1A">
              <w:t>(</w:t>
            </w:r>
            <w:r>
              <w:t xml:space="preserve"> „</w:t>
            </w:r>
            <w:proofErr w:type="gramEnd"/>
            <w:r>
              <w:t>krnovský Manchester“</w:t>
            </w:r>
            <w:r w:rsidRPr="00113E1A">
              <w:t>)</w:t>
            </w:r>
          </w:p>
        </w:tc>
      </w:tr>
    </w:tbl>
    <w:p w14:paraId="7AD6D76B" w14:textId="77777777" w:rsidR="00BE0FEB" w:rsidRDefault="00BE0FEB">
      <w:pPr>
        <w:pStyle w:val="Bntext"/>
      </w:pPr>
    </w:p>
    <w:p w14:paraId="1F13159D" w14:textId="77777777" w:rsidR="002F650F" w:rsidRDefault="008E208F" w:rsidP="00DA6A67">
      <w:pPr>
        <w:pStyle w:val="NadpisC"/>
      </w:pPr>
      <w:r>
        <w:t>1</w:t>
      </w:r>
      <w:r>
        <w:tab/>
      </w:r>
      <w:r w:rsidR="002F650F">
        <w:t>Popis námětu dle Studie</w:t>
      </w:r>
    </w:p>
    <w:p w14:paraId="3A30F7AF" w14:textId="77777777" w:rsidR="002F650F" w:rsidRPr="00A70F05" w:rsidRDefault="007D3DE9" w:rsidP="007D3DE9">
      <w:pPr>
        <w:pStyle w:val="Bntext"/>
        <w:rPr>
          <w:i/>
          <w:iCs/>
        </w:rPr>
      </w:pPr>
      <w:r w:rsidRPr="00A70F05">
        <w:rPr>
          <w:i/>
          <w:iCs/>
        </w:rPr>
        <w:t>Mezi horní hranou amfiteátru (viz D.04) a stávajícím chodníkem u kruhového objezdu, je navržen městský prostor s možností vyhlídky na řeku. Řešení přináší do této části města městský prvek s výraznou společenskou funkcí. Liniově tento prostor navazuje na promenádu Říčního okruhu. Plocha je osázena stromy, povrch je mlatový, je zde umístěn městský mobiliář (lavičky, koše, stojany na kola apod.), veřejné osvětlení apod. V úrovni horní hrany šikmé opěrné stěny je navrženo zábradlí. Typ zábradlí bude identický v celém řešeném úseku.</w:t>
      </w:r>
    </w:p>
    <w:p w14:paraId="039AD1A4" w14:textId="77777777" w:rsidR="002F650F" w:rsidRPr="00A70F05" w:rsidRDefault="002F650F">
      <w:pPr>
        <w:pStyle w:val="Bntext"/>
        <w:rPr>
          <w:i/>
          <w:iCs/>
        </w:rPr>
      </w:pPr>
    </w:p>
    <w:p w14:paraId="6569249E" w14:textId="77777777" w:rsidR="002F650F" w:rsidRDefault="008E208F" w:rsidP="00DA6A67">
      <w:pPr>
        <w:pStyle w:val="NadpisC"/>
      </w:pPr>
      <w:r>
        <w:t>2</w:t>
      </w:r>
      <w:r>
        <w:tab/>
      </w:r>
      <w:r w:rsidR="002F650F">
        <w:t>Umístění</w:t>
      </w:r>
    </w:p>
    <w:p w14:paraId="0DAEA967" w14:textId="77777777" w:rsidR="00C11FFF" w:rsidRPr="00C11FFF" w:rsidRDefault="00C11FFF" w:rsidP="00C11FFF">
      <w:pPr>
        <w:pStyle w:val="Bntext"/>
      </w:pPr>
      <w:r>
        <w:rPr>
          <w:noProof/>
        </w:rPr>
        <w:drawing>
          <wp:inline distT="0" distB="0" distL="0" distR="0" wp14:anchorId="07D7EB60" wp14:editId="016D768E">
            <wp:extent cx="3017520" cy="2700442"/>
            <wp:effectExtent l="0" t="0" r="0" b="5080"/>
            <wp:docPr id="1" name="Obrázek 1" descr="Obsah obrázku text,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_D15.PNG"/>
                    <pic:cNvPicPr/>
                  </pic:nvPicPr>
                  <pic:blipFill>
                    <a:blip r:embed="rId7">
                      <a:extLst>
                        <a:ext uri="{28A0092B-C50C-407E-A947-70E740481C1C}">
                          <a14:useLocalDpi xmlns:a14="http://schemas.microsoft.com/office/drawing/2010/main" val="0"/>
                        </a:ext>
                      </a:extLst>
                    </a:blip>
                    <a:stretch>
                      <a:fillRect/>
                    </a:stretch>
                  </pic:blipFill>
                  <pic:spPr>
                    <a:xfrm>
                      <a:off x="0" y="0"/>
                      <a:ext cx="3076328" cy="2753070"/>
                    </a:xfrm>
                    <a:prstGeom prst="rect">
                      <a:avLst/>
                    </a:prstGeom>
                  </pic:spPr>
                </pic:pic>
              </a:graphicData>
            </a:graphic>
          </wp:inline>
        </w:drawing>
      </w:r>
    </w:p>
    <w:p w14:paraId="00A58C65" w14:textId="77777777" w:rsidR="00AB6850" w:rsidRDefault="00AB6850" w:rsidP="00AB6850">
      <w:pPr>
        <w:pStyle w:val="Bntext"/>
      </w:pPr>
      <w:r w:rsidRPr="008534B0">
        <w:t xml:space="preserve">Námět v souladu s ÚP. Koridory vodní a </w:t>
      </w:r>
      <w:proofErr w:type="gramStart"/>
      <w:r w:rsidRPr="008534B0">
        <w:t>vodohospodářské - KW</w:t>
      </w:r>
      <w:proofErr w:type="gramEnd"/>
      <w:r w:rsidRPr="008534B0">
        <w:t>-0</w:t>
      </w:r>
      <w:r>
        <w:t>3</w:t>
      </w:r>
      <w:r w:rsidRPr="008534B0">
        <w:t>6</w:t>
      </w:r>
      <w:r>
        <w:t xml:space="preserve"> (přípustné využití pro stavby dopravní a technické infrastruktury).</w:t>
      </w:r>
    </w:p>
    <w:p w14:paraId="6A07A61A" w14:textId="77777777" w:rsidR="00AB6850" w:rsidRPr="008534B0" w:rsidRDefault="00AB6850" w:rsidP="00AB6850">
      <w:pPr>
        <w:pStyle w:val="Bntext"/>
      </w:pPr>
      <w:r w:rsidRPr="008534B0">
        <w:t xml:space="preserve">Zábory, majetkoprávní vypořádání – </w:t>
      </w:r>
      <w:r>
        <w:t>pozemek Města Krnova</w:t>
      </w:r>
    </w:p>
    <w:p w14:paraId="427C221E" w14:textId="77777777" w:rsidR="00AB6850" w:rsidRPr="00ED3333" w:rsidRDefault="00AB6850" w:rsidP="00AB6850">
      <w:pPr>
        <w:pStyle w:val="Bntext"/>
      </w:pPr>
      <w:r>
        <w:t>K</w:t>
      </w:r>
      <w:r w:rsidRPr="008534B0">
        <w:t>olize s</w:t>
      </w:r>
      <w:r>
        <w:t> </w:t>
      </w:r>
      <w:r w:rsidRPr="008534B0">
        <w:t>infrastrukturou</w:t>
      </w:r>
      <w:r>
        <w:t xml:space="preserve"> – ANO, kanalizace DN 800 včetně navrhované přeložky, kabel CETIN, vodovod DN 100 včetně navrhované přeložky, přeložka kabelu UPC</w:t>
      </w:r>
    </w:p>
    <w:p w14:paraId="2F35A2B4" w14:textId="77777777" w:rsidR="00235460" w:rsidRPr="00ED3333" w:rsidRDefault="00235460" w:rsidP="00ED3333">
      <w:pPr>
        <w:pStyle w:val="Bntext"/>
      </w:pPr>
    </w:p>
    <w:p w14:paraId="37AFAA02" w14:textId="77777777" w:rsidR="002F650F" w:rsidRDefault="008E208F" w:rsidP="00235460">
      <w:pPr>
        <w:pStyle w:val="NadpisC"/>
      </w:pPr>
      <w:r>
        <w:t>3</w:t>
      </w:r>
      <w:r>
        <w:tab/>
      </w:r>
      <w:r w:rsidR="00235460">
        <w:t>Komentář</w:t>
      </w:r>
    </w:p>
    <w:p w14:paraId="6919E7AA" w14:textId="77777777" w:rsidR="00037908" w:rsidRDefault="00037908" w:rsidP="00037908">
      <w:pPr>
        <w:pStyle w:val="Bntext"/>
      </w:pPr>
      <w:r>
        <w:t>Řešení je uvedeno na přílohách studie: zpráva A str. 29, situace B.</w:t>
      </w:r>
      <w:proofErr w:type="gramStart"/>
      <w:r>
        <w:t>04d</w:t>
      </w:r>
      <w:proofErr w:type="gramEnd"/>
      <w:r>
        <w:t xml:space="preserve">, </w:t>
      </w:r>
      <w:bookmarkStart w:id="0" w:name="_Hlk34383963"/>
      <w:r>
        <w:t>a příčný řez B.05g</w:t>
      </w:r>
      <w:bookmarkEnd w:id="0"/>
    </w:p>
    <w:p w14:paraId="21D955E7" w14:textId="77777777" w:rsidR="00037908" w:rsidRDefault="00037908" w:rsidP="00037908">
      <w:pPr>
        <w:pStyle w:val="Bntext"/>
      </w:pPr>
      <w:r>
        <w:t xml:space="preserve">Řešení je jen ideové. Nutno dořešit kolize s inženýrskými sítěmi. </w:t>
      </w:r>
    </w:p>
    <w:p w14:paraId="29C13D09" w14:textId="77777777" w:rsidR="002F650F" w:rsidRDefault="008E208F" w:rsidP="00DA6A67">
      <w:pPr>
        <w:pStyle w:val="NadpisC"/>
      </w:pPr>
      <w:r>
        <w:t>4</w:t>
      </w:r>
      <w:r>
        <w:tab/>
      </w:r>
      <w:r w:rsidR="002F650F">
        <w:t>Hodnocení slučitelnosti námětů s koncepcí PPO</w:t>
      </w:r>
      <w:r w:rsidR="002F08DA" w:rsidRPr="002F08DA">
        <w:t xml:space="preserve"> </w:t>
      </w:r>
      <w:r w:rsidR="002F08DA">
        <w:t>a funkčnosti</w:t>
      </w:r>
    </w:p>
    <w:p w14:paraId="754F4BFF" w14:textId="77777777" w:rsidR="006F0172" w:rsidRDefault="006F0172" w:rsidP="006F0172">
      <w:bookmarkStart w:id="1" w:name="_Hlk34691464"/>
      <w:r>
        <w:t>Lze zrealizovat bez ovlivnění funkce PPO.</w:t>
      </w:r>
      <w:r w:rsidR="00041B8D">
        <w:t xml:space="preserve"> Je za linii PPO.</w:t>
      </w:r>
    </w:p>
    <w:bookmarkEnd w:id="1"/>
    <w:p w14:paraId="7E236BA5" w14:textId="77777777" w:rsidR="002F650F" w:rsidRDefault="008E208F" w:rsidP="00DA6A67">
      <w:pPr>
        <w:pStyle w:val="NadpisC"/>
      </w:pPr>
      <w:r>
        <w:t>5</w:t>
      </w:r>
      <w:r>
        <w:tab/>
      </w:r>
      <w:r w:rsidR="005B07AF">
        <w:t>V</w:t>
      </w:r>
      <w:r w:rsidR="002F650F" w:rsidRPr="00ED3333">
        <w:t>liv na dosažení požadovaných kapacit PPO</w:t>
      </w:r>
    </w:p>
    <w:p w14:paraId="2FE59C71" w14:textId="77777777" w:rsidR="00ED3333" w:rsidRDefault="006F0172" w:rsidP="00ED3333">
      <w:pPr>
        <w:pStyle w:val="Bntext"/>
      </w:pPr>
      <w:bookmarkStart w:id="2" w:name="_Hlk34691840"/>
      <w:r>
        <w:t>Vliv neutrální.</w:t>
      </w:r>
      <w:bookmarkEnd w:id="2"/>
    </w:p>
    <w:p w14:paraId="16AF6C80" w14:textId="77777777" w:rsidR="00ED3333" w:rsidRPr="00ED3333" w:rsidRDefault="00ED3333" w:rsidP="00ED3333">
      <w:pPr>
        <w:pStyle w:val="Bntext"/>
      </w:pPr>
    </w:p>
    <w:p w14:paraId="62E22EFC" w14:textId="77777777" w:rsidR="002F650F" w:rsidRDefault="008E208F" w:rsidP="00DA6A67">
      <w:pPr>
        <w:pStyle w:val="NadpisC"/>
      </w:pPr>
      <w:r>
        <w:lastRenderedPageBreak/>
        <w:t>6</w:t>
      </w:r>
      <w:r>
        <w:tab/>
      </w:r>
      <w:r w:rsidR="00ED3333">
        <w:t>M</w:t>
      </w:r>
      <w:r w:rsidR="002F650F">
        <w:t xml:space="preserve">ožnost adaptace </w:t>
      </w:r>
      <w:r w:rsidR="00DA6A67">
        <w:t xml:space="preserve">z hlediska </w:t>
      </w:r>
      <w:r w:rsidR="002F650F">
        <w:t>slučitel</w:t>
      </w:r>
      <w:r w:rsidR="00DA6A67">
        <w:t>nosti</w:t>
      </w:r>
      <w:r w:rsidR="002F650F">
        <w:t xml:space="preserve"> s koncepcí PPO</w:t>
      </w:r>
      <w:r w:rsidR="00DA6A67">
        <w:t xml:space="preserve"> </w:t>
      </w:r>
    </w:p>
    <w:p w14:paraId="1A315423" w14:textId="77777777" w:rsidR="006C5CAC" w:rsidRDefault="0024174E" w:rsidP="0024174E">
      <w:bookmarkStart w:id="3" w:name="_Hlk34691882"/>
      <w:r>
        <w:t xml:space="preserve">Z hlediska PPO není třeba adaptovat. Přeložky inženýrských sítí </w:t>
      </w:r>
      <w:r w:rsidRPr="00CA6986">
        <w:t>(kanalizace DN800, vodovod, sděl. vedení)</w:t>
      </w:r>
      <w:r>
        <w:t xml:space="preserve"> je nutno koordinovat s přeložkami navrhovanými v rámci PPO pro stavbu nového mostu</w:t>
      </w:r>
      <w:r w:rsidR="00541FE4">
        <w:t>.</w:t>
      </w:r>
      <w:bookmarkEnd w:id="3"/>
    </w:p>
    <w:p w14:paraId="71758D57" w14:textId="77777777" w:rsidR="002F650F" w:rsidRDefault="007A41FB" w:rsidP="0024174E">
      <w:pPr>
        <w:pStyle w:val="NadpisC"/>
      </w:pPr>
      <w:r>
        <w:t>7</w:t>
      </w:r>
      <w:r>
        <w:tab/>
      </w:r>
      <w:r w:rsidR="00ED3333">
        <w:t>Z</w:t>
      </w:r>
      <w:r w:rsidR="002F650F">
        <w:t>hodnocení provozních hledisek z pohledu investor</w:t>
      </w:r>
      <w:r w:rsidR="001E6151">
        <w:t>a PPO</w:t>
      </w:r>
    </w:p>
    <w:p w14:paraId="45BC3F83" w14:textId="77777777" w:rsidR="00ED3333" w:rsidRPr="00ED3333" w:rsidRDefault="0024174E" w:rsidP="00ED3333">
      <w:pPr>
        <w:pStyle w:val="Bntext"/>
      </w:pPr>
      <w:bookmarkStart w:id="4" w:name="_Hlk34692002"/>
      <w:r>
        <w:t xml:space="preserve">Povodí Odry </w:t>
      </w:r>
      <w:proofErr w:type="spellStart"/>
      <w:r>
        <w:t>s.p</w:t>
      </w:r>
      <w:proofErr w:type="spellEnd"/>
      <w:r>
        <w:t>. nebude provozovatelem pobytového prostoru.</w:t>
      </w:r>
      <w:bookmarkEnd w:id="4"/>
    </w:p>
    <w:p w14:paraId="61DD56A2" w14:textId="77777777" w:rsidR="002F650F" w:rsidRDefault="007A41FB" w:rsidP="00DA6A67">
      <w:pPr>
        <w:pStyle w:val="NadpisC"/>
      </w:pPr>
      <w:r>
        <w:t>8</w:t>
      </w:r>
      <w:r>
        <w:tab/>
      </w:r>
      <w:r w:rsidR="001E6151">
        <w:t>S</w:t>
      </w:r>
      <w:r w:rsidR="002F650F">
        <w:t xml:space="preserve">tanovisko </w:t>
      </w:r>
      <w:r w:rsidR="00DA6A67">
        <w:t>investora PPO</w:t>
      </w:r>
    </w:p>
    <w:p w14:paraId="03518116" w14:textId="77777777" w:rsidR="00DA6A67" w:rsidRDefault="001D0ED5" w:rsidP="00DA6A67">
      <w:pPr>
        <w:pStyle w:val="Bntext"/>
      </w:pPr>
      <w:r w:rsidRPr="001D0ED5">
        <w:t>Z hlediska vodního hospodářství je navržené opatření možné</w:t>
      </w:r>
      <w:r w:rsidR="007C5BE4">
        <w:t>.</w:t>
      </w:r>
    </w:p>
    <w:p w14:paraId="68D1E29C" w14:textId="77777777" w:rsidR="00F83799" w:rsidRDefault="00580B0D" w:rsidP="00580B0D">
      <w:pPr>
        <w:pStyle w:val="Bntext"/>
      </w:pPr>
      <w:r>
        <w:t>Z hlediska investorství</w:t>
      </w:r>
      <w:r w:rsidRPr="00B90B01">
        <w:t xml:space="preserve"> </w:t>
      </w:r>
      <w:r w:rsidRPr="00F56DCE">
        <w:rPr>
          <w:b/>
          <w:bCs/>
        </w:rPr>
        <w:t xml:space="preserve">Typ </w:t>
      </w:r>
      <w:r w:rsidR="00254C0D">
        <w:rPr>
          <w:b/>
          <w:bCs/>
        </w:rPr>
        <w:t>4</w:t>
      </w:r>
      <w:r w:rsidRPr="00542005">
        <w:t xml:space="preserve"> </w:t>
      </w:r>
      <w:r w:rsidR="00F83799" w:rsidRPr="00542005">
        <w:t xml:space="preserve">– </w:t>
      </w:r>
      <w:r w:rsidR="00F83799">
        <w:t>výhledový záměr jiného investora.</w:t>
      </w:r>
    </w:p>
    <w:p w14:paraId="56EF6EAA" w14:textId="77777777" w:rsidR="002F650F" w:rsidRDefault="001E6151" w:rsidP="00DA6A67">
      <w:pPr>
        <w:pStyle w:val="NadpisC"/>
      </w:pPr>
      <w:r>
        <w:t>9</w:t>
      </w:r>
      <w:r w:rsidR="007A41FB">
        <w:tab/>
      </w:r>
      <w:r w:rsidR="00DA6A67">
        <w:t>N</w:t>
      </w:r>
      <w:r w:rsidR="002F650F">
        <w:t xml:space="preserve">ávrh </w:t>
      </w:r>
      <w:r w:rsidR="00DA6A67">
        <w:t xml:space="preserve">zásad </w:t>
      </w:r>
      <w:r w:rsidR="002F650F">
        <w:t xml:space="preserve">koordinace přípravy a realizace </w:t>
      </w:r>
    </w:p>
    <w:p w14:paraId="3A754121" w14:textId="77777777" w:rsidR="00660F21" w:rsidRDefault="006F0172" w:rsidP="00660F21">
      <w:bookmarkStart w:id="5" w:name="_Hlk34693260"/>
      <w:r>
        <w:t>Úpravy pobytového prostoru budou řešeny jako</w:t>
      </w:r>
      <w:r w:rsidR="00B2787E">
        <w:t xml:space="preserve"> výhledová</w:t>
      </w:r>
      <w:r>
        <w:t xml:space="preserve"> samostatná stavba jiného investora (Města Krnova)</w:t>
      </w:r>
      <w:r w:rsidR="00D43BFF">
        <w:t xml:space="preserve"> za jeho prostředky.</w:t>
      </w:r>
      <w:bookmarkStart w:id="6" w:name="_Hlk41900369"/>
      <w:bookmarkStart w:id="7" w:name="_Hlk41926097"/>
      <w:r w:rsidR="00660F21" w:rsidRPr="00660F21">
        <w:t xml:space="preserve"> </w:t>
      </w:r>
      <w:r w:rsidR="00660F21">
        <w:t>Námět nebude zařazen do DUR</w:t>
      </w:r>
      <w:bookmarkEnd w:id="6"/>
      <w:r w:rsidR="00660F21">
        <w:t>, bude projednáván v samostatném řízení.</w:t>
      </w:r>
    </w:p>
    <w:bookmarkEnd w:id="5"/>
    <w:bookmarkEnd w:id="7"/>
    <w:p w14:paraId="3F5072DE" w14:textId="77777777" w:rsidR="00580B0D" w:rsidRDefault="00580B0D" w:rsidP="007C5BE4">
      <w:pPr>
        <w:pStyle w:val="Bntext"/>
      </w:pPr>
      <w:r>
        <w:t>Nutno koordinovat s přeložkami inženýrských sítí navrhovanými v rámci DUR PPO:</w:t>
      </w:r>
    </w:p>
    <w:p w14:paraId="0C538D5C" w14:textId="77777777" w:rsidR="00580B0D" w:rsidRDefault="00580B0D" w:rsidP="007C5BE4">
      <w:pPr>
        <w:pStyle w:val="Bntext"/>
      </w:pPr>
      <w:r w:rsidRPr="00141FE7">
        <w:t xml:space="preserve">SO </w:t>
      </w:r>
      <w:proofErr w:type="gramStart"/>
      <w:r w:rsidRPr="00141FE7">
        <w:t>090.53.2  Přeložka</w:t>
      </w:r>
      <w:proofErr w:type="gramEnd"/>
      <w:r w:rsidRPr="00141FE7">
        <w:t xml:space="preserve"> kanalizace DN 800 v km 0,883 - 0,958</w:t>
      </w:r>
      <w:r>
        <w:t xml:space="preserve"> </w:t>
      </w:r>
    </w:p>
    <w:p w14:paraId="7C62CCAC" w14:textId="77777777" w:rsidR="00580B0D" w:rsidRDefault="00580B0D" w:rsidP="007C5BE4">
      <w:pPr>
        <w:pStyle w:val="Bntext"/>
      </w:pPr>
      <w:r w:rsidRPr="00141FE7">
        <w:t xml:space="preserve">SO </w:t>
      </w:r>
      <w:proofErr w:type="gramStart"/>
      <w:r w:rsidRPr="00141FE7">
        <w:t>090.52.3  Přeložka</w:t>
      </w:r>
      <w:proofErr w:type="gramEnd"/>
      <w:r w:rsidRPr="00141FE7">
        <w:t xml:space="preserve"> vodovodu DN 100 v km 0,889 – 0,943</w:t>
      </w:r>
      <w:r>
        <w:t xml:space="preserve">, </w:t>
      </w:r>
    </w:p>
    <w:p w14:paraId="7552E2E9" w14:textId="1B7C2FFA" w:rsidR="00580B0D" w:rsidRDefault="00580B0D" w:rsidP="007C5BE4">
      <w:pPr>
        <w:pStyle w:val="Bntext"/>
      </w:pPr>
      <w:r w:rsidRPr="00141FE7">
        <w:t xml:space="preserve">SO </w:t>
      </w:r>
      <w:proofErr w:type="gramStart"/>
      <w:r w:rsidRPr="00141FE7">
        <w:t>090.56.3  Přeložka</w:t>
      </w:r>
      <w:proofErr w:type="gramEnd"/>
      <w:r w:rsidRPr="00141FE7">
        <w:t xml:space="preserve"> sdělovacího kabelu CETIN v km 0,928</w:t>
      </w:r>
      <w:r>
        <w:t>.</w:t>
      </w:r>
    </w:p>
    <w:p w14:paraId="06493D86" w14:textId="42C9FDE5" w:rsidR="00115639" w:rsidRDefault="00115639" w:rsidP="007C5BE4">
      <w:pPr>
        <w:pStyle w:val="Bntext"/>
      </w:pPr>
    </w:p>
    <w:tbl>
      <w:tblPr>
        <w:tblStyle w:val="Mkatabulky"/>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062"/>
      </w:tblGrid>
      <w:tr w:rsidR="00157B5B" w:rsidRPr="00ED5BBD" w14:paraId="17E30731" w14:textId="77777777" w:rsidTr="00BC25DC">
        <w:tc>
          <w:tcPr>
            <w:tcW w:w="9062" w:type="dxa"/>
            <w:shd w:val="clear" w:color="auto" w:fill="F2F2F2" w:themeFill="background1" w:themeFillShade="F2"/>
            <w:hideMark/>
          </w:tcPr>
          <w:p w14:paraId="7DD60DF9" w14:textId="77777777" w:rsidR="00157B5B" w:rsidRPr="00ED5BBD" w:rsidRDefault="00157B5B" w:rsidP="00BC25DC">
            <w:pPr>
              <w:rPr>
                <w:rFonts w:cs="Arial"/>
                <w:b/>
                <w:bCs/>
                <w:color w:val="FF0000"/>
                <w:szCs w:val="20"/>
              </w:rPr>
            </w:pPr>
            <w:bookmarkStart w:id="8" w:name="_Hlk48577253"/>
            <w:r w:rsidRPr="00ED5BBD">
              <w:rPr>
                <w:rFonts w:cs="Arial"/>
                <w:b/>
                <w:bCs/>
                <w:color w:val="FF0000"/>
                <w:sz w:val="24"/>
              </w:rPr>
              <w:t>ZÁVĚR</w:t>
            </w:r>
          </w:p>
        </w:tc>
      </w:tr>
      <w:tr w:rsidR="00157B5B" w:rsidRPr="00ED5BBD" w14:paraId="0714CDA5" w14:textId="77777777" w:rsidTr="00BC25DC">
        <w:tc>
          <w:tcPr>
            <w:tcW w:w="9062" w:type="dxa"/>
            <w:hideMark/>
          </w:tcPr>
          <w:p w14:paraId="46167C2E" w14:textId="77777777" w:rsidR="00157B5B" w:rsidRDefault="00157B5B" w:rsidP="00157B5B">
            <w:pPr>
              <w:pStyle w:val="Bntext"/>
            </w:pPr>
            <w:r>
              <w:rPr>
                <w:color w:val="FF0000"/>
                <w:szCs w:val="20"/>
              </w:rPr>
              <w:t>Souhlasíme se stanoviskem.</w:t>
            </w:r>
          </w:p>
          <w:p w14:paraId="004200EB" w14:textId="77777777" w:rsidR="00157B5B" w:rsidRPr="00ED5BBD" w:rsidRDefault="00157B5B" w:rsidP="00BC25DC">
            <w:pPr>
              <w:pStyle w:val="Bntext"/>
              <w:rPr>
                <w:rFonts w:cs="Arial"/>
                <w:color w:val="FF0000"/>
                <w:szCs w:val="20"/>
              </w:rPr>
            </w:pPr>
          </w:p>
          <w:p w14:paraId="7F29F123" w14:textId="77777777" w:rsidR="00157B5B" w:rsidRPr="00ED5BBD" w:rsidRDefault="00157B5B" w:rsidP="00BC25DC">
            <w:pPr>
              <w:rPr>
                <w:rFonts w:cs="Arial"/>
                <w:color w:val="FF0000"/>
                <w:szCs w:val="20"/>
              </w:rPr>
            </w:pPr>
          </w:p>
        </w:tc>
      </w:tr>
      <w:tr w:rsidR="00157B5B" w:rsidRPr="00ED5BBD" w14:paraId="6585920A" w14:textId="77777777" w:rsidTr="00BC25DC">
        <w:tc>
          <w:tcPr>
            <w:tcW w:w="9062" w:type="dxa"/>
            <w:shd w:val="clear" w:color="auto" w:fill="auto"/>
          </w:tcPr>
          <w:p w14:paraId="4421F374" w14:textId="77777777" w:rsidR="00157B5B" w:rsidRPr="00ED5BBD" w:rsidRDefault="00157B5B" w:rsidP="00BC25DC">
            <w:pPr>
              <w:rPr>
                <w:rFonts w:cs="Arial"/>
                <w:color w:val="FF0000"/>
                <w:szCs w:val="20"/>
              </w:rPr>
            </w:pPr>
            <w:r w:rsidRPr="00ED5BBD">
              <w:rPr>
                <w:rFonts w:cs="Arial"/>
                <w:i/>
                <w:iCs/>
                <w:color w:val="FF0000"/>
                <w:szCs w:val="20"/>
              </w:rPr>
              <w:t xml:space="preserve">pozn.: závěr vychází z konzultací ke koordinaci záměru Studie „Krnov: Řeka ve městě“ a projektové dokumentace DUR stavby OHO 02.090, Opatření Krnov-město, konaných 6.8.2020 a 14.8.2020 v kanceláři fy. </w:t>
            </w:r>
            <w:proofErr w:type="spellStart"/>
            <w:r w:rsidRPr="00ED5BBD">
              <w:rPr>
                <w:rFonts w:cs="Arial"/>
                <w:i/>
                <w:iCs/>
                <w:color w:val="FF0000"/>
                <w:szCs w:val="20"/>
              </w:rPr>
              <w:t>Aquatis</w:t>
            </w:r>
            <w:proofErr w:type="spellEnd"/>
            <w:r w:rsidRPr="00ED5BBD">
              <w:rPr>
                <w:rFonts w:cs="Arial"/>
                <w:i/>
                <w:iCs/>
                <w:color w:val="FF0000"/>
                <w:szCs w:val="20"/>
              </w:rPr>
              <w:t xml:space="preserve">, a.s. za účasti zástupců fy. </w:t>
            </w:r>
            <w:proofErr w:type="spellStart"/>
            <w:r w:rsidRPr="00ED5BBD">
              <w:rPr>
                <w:rFonts w:cs="Arial"/>
                <w:i/>
                <w:iCs/>
                <w:color w:val="FF0000"/>
                <w:szCs w:val="20"/>
              </w:rPr>
              <w:t>Aquatis</w:t>
            </w:r>
            <w:proofErr w:type="spellEnd"/>
            <w:r w:rsidRPr="00ED5BBD">
              <w:rPr>
                <w:rFonts w:cs="Arial"/>
                <w:i/>
                <w:iCs/>
                <w:color w:val="FF0000"/>
                <w:szCs w:val="20"/>
              </w:rPr>
              <w:t xml:space="preserve">, a.s. (Švancara, Mikulášek) a týmu Studie „Krnov: řeka ve městě“ (Machovský, Ondruška, Atelier </w:t>
            </w:r>
            <w:proofErr w:type="spellStart"/>
            <w:r w:rsidRPr="00ED5BBD">
              <w:rPr>
                <w:rFonts w:cs="Arial"/>
                <w:i/>
                <w:iCs/>
                <w:color w:val="FF0000"/>
                <w:szCs w:val="20"/>
              </w:rPr>
              <w:t>Fontes</w:t>
            </w:r>
            <w:proofErr w:type="spellEnd"/>
            <w:r w:rsidRPr="00ED5BBD">
              <w:rPr>
                <w:rFonts w:cs="Arial"/>
                <w:i/>
                <w:iCs/>
                <w:color w:val="FF0000"/>
                <w:szCs w:val="20"/>
              </w:rPr>
              <w:t>, s.r.o. – Havlíček, Řiháček)</w:t>
            </w:r>
          </w:p>
        </w:tc>
      </w:tr>
      <w:bookmarkEnd w:id="8"/>
    </w:tbl>
    <w:p w14:paraId="58C7A371" w14:textId="77777777" w:rsidR="00157B5B" w:rsidRDefault="00157B5B" w:rsidP="00115639">
      <w:pPr>
        <w:pStyle w:val="NadpisC"/>
        <w:rPr>
          <w:color w:val="FF0000"/>
        </w:rPr>
      </w:pPr>
    </w:p>
    <w:p w14:paraId="0B1A7BE9" w14:textId="77777777" w:rsidR="00157B5B" w:rsidRDefault="00157B5B">
      <w:pPr>
        <w:pStyle w:val="Bntext"/>
      </w:pPr>
    </w:p>
    <w:sectPr w:rsidR="00157B5B">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5E9D50" w14:textId="77777777" w:rsidR="00F20990" w:rsidRDefault="00F20990">
      <w:r>
        <w:separator/>
      </w:r>
    </w:p>
  </w:endnote>
  <w:endnote w:type="continuationSeparator" w:id="0">
    <w:p w14:paraId="5F7C1A7A" w14:textId="77777777" w:rsidR="00F20990" w:rsidRDefault="00F20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C63AB" w14:textId="77777777" w:rsidR="00157B5B" w:rsidRDefault="00157B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4605"/>
      <w:gridCol w:w="4605"/>
    </w:tblGrid>
    <w:tr w:rsidR="00BE0FEB" w14:paraId="6CDE4BA4" w14:textId="77777777">
      <w:trPr>
        <w:cantSplit/>
      </w:trPr>
      <w:tc>
        <w:tcPr>
          <w:tcW w:w="9210" w:type="dxa"/>
          <w:gridSpan w:val="2"/>
          <w:tcBorders>
            <w:bottom w:val="single" w:sz="4" w:space="0" w:color="auto"/>
          </w:tcBorders>
        </w:tcPr>
        <w:p w14:paraId="7699299C" w14:textId="77777777" w:rsidR="00BE0FEB" w:rsidRDefault="00BE0FEB" w:rsidP="001E1F3D">
          <w:pPr>
            <w:pStyle w:val="Zpat"/>
          </w:pPr>
          <w:r>
            <w:t xml:space="preserve">Copyright </w:t>
          </w:r>
          <w:r>
            <w:rPr>
              <w:rFonts w:cs="Arial"/>
              <w:sz w:val="26"/>
              <w:szCs w:val="26"/>
            </w:rPr>
            <w:t xml:space="preserve">© </w:t>
          </w:r>
          <w:r w:rsidR="001E1F3D">
            <w:rPr>
              <w:rFonts w:ascii="Helv" w:hAnsi="Helv"/>
              <w:color w:val="000000"/>
              <w:szCs w:val="20"/>
            </w:rPr>
            <w:t>AQUATIS</w:t>
          </w:r>
          <w:r>
            <w:rPr>
              <w:rFonts w:ascii="Helv" w:hAnsi="Helv"/>
              <w:color w:val="000000"/>
              <w:szCs w:val="20"/>
            </w:rPr>
            <w:t xml:space="preserve"> a.s.</w:t>
          </w:r>
        </w:p>
      </w:tc>
    </w:tr>
    <w:tr w:rsidR="00BE0FEB" w14:paraId="32B29876" w14:textId="77777777">
      <w:tc>
        <w:tcPr>
          <w:tcW w:w="4605" w:type="dxa"/>
          <w:tcBorders>
            <w:top w:val="single" w:sz="4" w:space="0" w:color="auto"/>
          </w:tcBorders>
        </w:tcPr>
        <w:p w14:paraId="2708CA17" w14:textId="7958B1BC" w:rsidR="00BE0FEB" w:rsidRDefault="000560B1">
          <w:pPr>
            <w:pStyle w:val="Zpat"/>
          </w:pPr>
          <w:fldSimple w:instr=" FILENAME  \* MERGEFORMAT ">
            <w:r w:rsidR="00157B5B">
              <w:rPr>
                <w:noProof/>
              </w:rPr>
              <w:t>D_15+zaver 08-2020.docx</w:t>
            </w:r>
          </w:fldSimple>
        </w:p>
      </w:tc>
      <w:tc>
        <w:tcPr>
          <w:tcW w:w="4605" w:type="dxa"/>
          <w:tcBorders>
            <w:top w:val="single" w:sz="4" w:space="0" w:color="auto"/>
          </w:tcBorders>
          <w:vAlign w:val="bottom"/>
        </w:tcPr>
        <w:p w14:paraId="173DA368" w14:textId="77777777" w:rsidR="00BE0FEB" w:rsidRDefault="00BE0FEB">
          <w:pPr>
            <w:pStyle w:val="Zpat"/>
            <w:jc w:val="right"/>
          </w:pPr>
          <w:r>
            <w:t xml:space="preserve">strana </w:t>
          </w:r>
          <w:r>
            <w:fldChar w:fldCharType="begin"/>
          </w:r>
          <w:r>
            <w:instrText xml:space="preserve"> PAGE </w:instrText>
          </w:r>
          <w:r>
            <w:fldChar w:fldCharType="separate"/>
          </w:r>
          <w:r w:rsidR="001E1F3D">
            <w:rPr>
              <w:noProof/>
            </w:rPr>
            <w:t>1</w:t>
          </w:r>
          <w:r>
            <w:fldChar w:fldCharType="end"/>
          </w:r>
        </w:p>
      </w:tc>
    </w:tr>
  </w:tbl>
  <w:p w14:paraId="088FABE1" w14:textId="77777777" w:rsidR="00BE0FEB" w:rsidRDefault="00BE0FE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167E4" w14:textId="77777777" w:rsidR="00157B5B" w:rsidRDefault="00157B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495C7" w14:textId="77777777" w:rsidR="00F20990" w:rsidRDefault="00F20990">
      <w:r>
        <w:separator/>
      </w:r>
    </w:p>
  </w:footnote>
  <w:footnote w:type="continuationSeparator" w:id="0">
    <w:p w14:paraId="2856F65A" w14:textId="77777777" w:rsidR="00F20990" w:rsidRDefault="00F20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02217" w14:textId="77777777" w:rsidR="00157B5B" w:rsidRDefault="00157B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2" w:type="dxa"/>
      <w:tblCellMar>
        <w:left w:w="70" w:type="dxa"/>
        <w:right w:w="70" w:type="dxa"/>
      </w:tblCellMar>
      <w:tblLook w:val="0000" w:firstRow="0" w:lastRow="0" w:firstColumn="0" w:lastColumn="0" w:noHBand="0" w:noVBand="0"/>
    </w:tblPr>
    <w:tblGrid>
      <w:gridCol w:w="4677"/>
      <w:gridCol w:w="4605"/>
    </w:tblGrid>
    <w:tr w:rsidR="00BC0753" w14:paraId="1B682C94" w14:textId="77777777" w:rsidTr="002F650F">
      <w:tc>
        <w:tcPr>
          <w:tcW w:w="4677" w:type="dxa"/>
          <w:tcBorders>
            <w:bottom w:val="single" w:sz="4" w:space="0" w:color="auto"/>
          </w:tcBorders>
        </w:tcPr>
        <w:p w14:paraId="0C25F3C5" w14:textId="77777777" w:rsidR="00BC0753" w:rsidRDefault="00101B48" w:rsidP="00BC0753">
          <w:pPr>
            <w:pStyle w:val="Zhlav"/>
          </w:pPr>
          <w:r>
            <w:t>List opatření</w:t>
          </w:r>
        </w:p>
      </w:tc>
      <w:tc>
        <w:tcPr>
          <w:tcW w:w="4605" w:type="dxa"/>
          <w:tcBorders>
            <w:bottom w:val="single" w:sz="4" w:space="0" w:color="auto"/>
          </w:tcBorders>
          <w:vAlign w:val="bottom"/>
        </w:tcPr>
        <w:p w14:paraId="27058FBE" w14:textId="77777777" w:rsidR="00BC0753" w:rsidRDefault="00BC0753" w:rsidP="00BC0753">
          <w:pPr>
            <w:pStyle w:val="Zhlav"/>
            <w:jc w:val="right"/>
          </w:pPr>
          <w:r w:rsidRPr="005972D8">
            <w:t>Posouzení návrhu řešení města Krnov</w:t>
          </w:r>
          <w:r>
            <w:t>a</w:t>
          </w:r>
          <w:r w:rsidRPr="005972D8">
            <w:t xml:space="preserve"> </w:t>
          </w:r>
          <w:r>
            <w:br/>
          </w:r>
          <w:r w:rsidRPr="005972D8">
            <w:t>podle studie "Krnov: Řeka ve městě"</w:t>
          </w:r>
        </w:p>
      </w:tc>
    </w:tr>
    <w:tr w:rsidR="00BE0FEB" w14:paraId="6555F64B" w14:textId="77777777" w:rsidTr="002F650F">
      <w:trPr>
        <w:cantSplit/>
      </w:trPr>
      <w:tc>
        <w:tcPr>
          <w:tcW w:w="9282" w:type="dxa"/>
          <w:gridSpan w:val="2"/>
          <w:tcBorders>
            <w:top w:val="single" w:sz="4" w:space="0" w:color="auto"/>
            <w:bottom w:val="nil"/>
          </w:tcBorders>
        </w:tcPr>
        <w:p w14:paraId="0682DC9C" w14:textId="77777777" w:rsidR="00BE0FEB" w:rsidRDefault="00AB6850">
          <w:pPr>
            <w:pStyle w:val="Zhlav"/>
            <w:jc w:val="right"/>
          </w:pPr>
          <w:proofErr w:type="gramStart"/>
          <w:r>
            <w:t>20044A</w:t>
          </w:r>
          <w:proofErr w:type="gramEnd"/>
        </w:p>
      </w:tc>
    </w:tr>
  </w:tbl>
  <w:p w14:paraId="2DD6847C" w14:textId="77777777" w:rsidR="00BE0FEB" w:rsidRDefault="00BE0FE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C5D15" w14:textId="77777777" w:rsidR="00157B5B" w:rsidRDefault="00157B5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C2CBE5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0F20B8A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5C2A69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F466B274"/>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4F3A3C96"/>
    <w:multiLevelType w:val="hybridMultilevel"/>
    <w:tmpl w:val="26B43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8452E4"/>
    <w:multiLevelType w:val="multilevel"/>
    <w:tmpl w:val="63E00C6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num w:numId="1">
    <w:abstractNumId w:val="4"/>
  </w:num>
  <w:num w:numId="2">
    <w:abstractNumId w:val="1"/>
  </w:num>
  <w:num w:numId="3">
    <w:abstractNumId w:val="0"/>
  </w:num>
  <w:num w:numId="4">
    <w:abstractNumId w:val="7"/>
  </w:num>
  <w:num w:numId="5">
    <w:abstractNumId w:val="7"/>
  </w:num>
  <w:num w:numId="6">
    <w:abstractNumId w:val="7"/>
  </w:num>
  <w:num w:numId="7">
    <w:abstractNumId w:val="7"/>
  </w:num>
  <w:num w:numId="8">
    <w:abstractNumId w:val="5"/>
  </w:num>
  <w:num w:numId="9">
    <w:abstractNumId w:val="5"/>
  </w:num>
  <w:num w:numId="10">
    <w:abstractNumId w:val="3"/>
  </w:num>
  <w:num w:numId="11">
    <w:abstractNumId w:val="3"/>
  </w:num>
  <w:num w:numId="12">
    <w:abstractNumId w:val="2"/>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D23D3"/>
    <w:rsid w:val="00004530"/>
    <w:rsid w:val="00037908"/>
    <w:rsid w:val="00041B8D"/>
    <w:rsid w:val="000560B1"/>
    <w:rsid w:val="00101B48"/>
    <w:rsid w:val="00115639"/>
    <w:rsid w:val="00157B5B"/>
    <w:rsid w:val="001D0ED5"/>
    <w:rsid w:val="001D6AFC"/>
    <w:rsid w:val="001E1F3D"/>
    <w:rsid w:val="001E6151"/>
    <w:rsid w:val="00235460"/>
    <w:rsid w:val="0024174E"/>
    <w:rsid w:val="002476B9"/>
    <w:rsid w:val="00254C0D"/>
    <w:rsid w:val="002F08DA"/>
    <w:rsid w:val="002F650F"/>
    <w:rsid w:val="003F5A51"/>
    <w:rsid w:val="0042509E"/>
    <w:rsid w:val="00493812"/>
    <w:rsid w:val="00541FE4"/>
    <w:rsid w:val="00580B0D"/>
    <w:rsid w:val="005B07AF"/>
    <w:rsid w:val="005E182B"/>
    <w:rsid w:val="00660F21"/>
    <w:rsid w:val="00693F6B"/>
    <w:rsid w:val="006C5CAC"/>
    <w:rsid w:val="006F0172"/>
    <w:rsid w:val="00723415"/>
    <w:rsid w:val="007A41FB"/>
    <w:rsid w:val="007C5BE4"/>
    <w:rsid w:val="007D3DE9"/>
    <w:rsid w:val="008E208F"/>
    <w:rsid w:val="008E79B4"/>
    <w:rsid w:val="00947DE4"/>
    <w:rsid w:val="009B4603"/>
    <w:rsid w:val="00A62A4F"/>
    <w:rsid w:val="00A70F05"/>
    <w:rsid w:val="00AB6850"/>
    <w:rsid w:val="00AF21A8"/>
    <w:rsid w:val="00B2787E"/>
    <w:rsid w:val="00B50DEA"/>
    <w:rsid w:val="00BC0753"/>
    <w:rsid w:val="00BD23D3"/>
    <w:rsid w:val="00BE0FEB"/>
    <w:rsid w:val="00C11FFF"/>
    <w:rsid w:val="00D179F0"/>
    <w:rsid w:val="00D43BFF"/>
    <w:rsid w:val="00DA6A67"/>
    <w:rsid w:val="00DD256E"/>
    <w:rsid w:val="00E25109"/>
    <w:rsid w:val="00E63454"/>
    <w:rsid w:val="00ED3333"/>
    <w:rsid w:val="00F20990"/>
    <w:rsid w:val="00F83799"/>
    <w:rsid w:val="00FD2D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AF94E3"/>
  <w15:docId w15:val="{5989D4D7-8FFD-4805-BBD4-8288A727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szCs w:val="24"/>
    </w:rPr>
  </w:style>
  <w:style w:type="paragraph" w:styleId="Nadpis1">
    <w:name w:val="heading 1"/>
    <w:basedOn w:val="Normln"/>
    <w:next w:val="Bntext"/>
    <w:qFormat/>
    <w:pPr>
      <w:keepNext/>
      <w:widowControl w:val="0"/>
      <w:numPr>
        <w:numId w:val="4"/>
      </w:numPr>
      <w:spacing w:before="240" w:after="60"/>
      <w:outlineLvl w:val="0"/>
    </w:pPr>
    <w:rPr>
      <w:rFonts w:cs="Arial"/>
      <w:b/>
      <w:bCs/>
      <w:caps/>
      <w:kern w:val="28"/>
      <w:sz w:val="28"/>
      <w:szCs w:val="32"/>
    </w:rPr>
  </w:style>
  <w:style w:type="paragraph" w:styleId="Nadpis2">
    <w:name w:val="heading 2"/>
    <w:basedOn w:val="Normln"/>
    <w:next w:val="Bntext"/>
    <w:qFormat/>
    <w:pPr>
      <w:keepNext/>
      <w:widowControl w:val="0"/>
      <w:numPr>
        <w:ilvl w:val="1"/>
        <w:numId w:val="5"/>
      </w:numPr>
      <w:spacing w:before="240" w:after="60"/>
      <w:outlineLvl w:val="1"/>
    </w:pPr>
    <w:rPr>
      <w:rFonts w:cs="Arial"/>
      <w:b/>
      <w:bCs/>
      <w:iCs/>
      <w:kern w:val="28"/>
      <w:sz w:val="28"/>
      <w:szCs w:val="28"/>
    </w:rPr>
  </w:style>
  <w:style w:type="paragraph" w:styleId="Nadpis3">
    <w:name w:val="heading 3"/>
    <w:basedOn w:val="Normln"/>
    <w:next w:val="Bntext"/>
    <w:qFormat/>
    <w:pPr>
      <w:keepNext/>
      <w:widowControl w:val="0"/>
      <w:numPr>
        <w:ilvl w:val="2"/>
        <w:numId w:val="6"/>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7"/>
      </w:numPr>
      <w:tabs>
        <w:tab w:val="clear" w:pos="1080"/>
        <w:tab w:val="left" w:pos="851"/>
      </w:tabs>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spacing w:before="60" w:after="60"/>
    </w:pPr>
    <w:rPr>
      <w:i/>
    </w:rPr>
  </w:style>
  <w:style w:type="paragraph" w:styleId="Zpat">
    <w:name w:val="footer"/>
    <w:basedOn w:val="Normln"/>
    <w:pPr>
      <w:widowControl w:val="0"/>
      <w:spacing w:before="60" w:after="60"/>
    </w:pPr>
    <w:rPr>
      <w:i/>
    </w:rPr>
  </w:style>
  <w:style w:type="paragraph" w:customStyle="1" w:styleId="Bntext">
    <w:name w:val="Běžný text"/>
    <w:basedOn w:val="Normln"/>
    <w:pPr>
      <w:widowControl w:val="0"/>
      <w:spacing w:before="60" w:after="60"/>
      <w:jc w:val="both"/>
    </w:p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pPr>
      <w:widowControl w:val="0"/>
      <w:tabs>
        <w:tab w:val="left" w:pos="357"/>
      </w:tabs>
      <w:ind w:left="357" w:hanging="357"/>
    </w:pPr>
  </w:style>
  <w:style w:type="paragraph" w:styleId="slovanseznam2">
    <w:name w:val="List Number 2"/>
    <w:basedOn w:val="Normln"/>
    <w:pPr>
      <w:widowControl w:val="0"/>
      <w:tabs>
        <w:tab w:val="left" w:pos="851"/>
      </w:tabs>
      <w:ind w:left="851" w:hanging="851"/>
    </w:pPr>
  </w:style>
  <w:style w:type="paragraph" w:styleId="slovanseznam3">
    <w:name w:val="List Number 3"/>
    <w:basedOn w:val="Norml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semiHidden/>
    <w:pPr>
      <w:widowControl w:val="0"/>
      <w:spacing w:after="60"/>
    </w:pPr>
    <w:rPr>
      <w:caps/>
    </w:rPr>
  </w:style>
  <w:style w:type="paragraph" w:styleId="Obsah2">
    <w:name w:val="toc 2"/>
    <w:basedOn w:val="Normln"/>
    <w:next w:val="Bntext"/>
    <w:autoRedefine/>
    <w:semiHidden/>
    <w:pPr>
      <w:widowControl w:val="0"/>
      <w:spacing w:after="60"/>
      <w:ind w:left="198"/>
    </w:pPr>
  </w:style>
  <w:style w:type="paragraph" w:styleId="Obsah3">
    <w:name w:val="toc 3"/>
    <w:basedOn w:val="Normln"/>
    <w:next w:val="Bntext"/>
    <w:autoRedefine/>
    <w:semiHidden/>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pPr>
      <w:widowControl w:val="0"/>
      <w:numPr>
        <w:numId w:val="9"/>
      </w:numPr>
      <w:tabs>
        <w:tab w:val="clear" w:pos="360"/>
        <w:tab w:val="left" w:pos="357"/>
      </w:tabs>
      <w:ind w:left="357" w:hanging="357"/>
    </w:pPr>
  </w:style>
  <w:style w:type="paragraph" w:styleId="Seznamsodrkami2">
    <w:name w:val="List Bullet 2"/>
    <w:basedOn w:val="Normln"/>
    <w:autoRedefine/>
    <w:pPr>
      <w:widowControl w:val="0"/>
      <w:numPr>
        <w:numId w:val="11"/>
      </w:numPr>
      <w:tabs>
        <w:tab w:val="clear" w:pos="643"/>
        <w:tab w:val="left" w:pos="851"/>
      </w:tabs>
      <w:ind w:left="851" w:hanging="851"/>
    </w:pPr>
  </w:style>
  <w:style w:type="paragraph" w:styleId="Seznamsodrkami3">
    <w:name w:val="List Bullet 3"/>
    <w:basedOn w:val="Normln"/>
    <w:autoRedefine/>
    <w:pPr>
      <w:widowControl w:val="0"/>
      <w:numPr>
        <w:numId w:val="13"/>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table" w:styleId="Mkatabulky">
    <w:name w:val="Table Grid"/>
    <w:basedOn w:val="Normlntabulka"/>
    <w:rsid w:val="002F6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F650F"/>
    <w:pPr>
      <w:ind w:left="720"/>
      <w:contextualSpacing/>
    </w:pPr>
  </w:style>
  <w:style w:type="paragraph" w:styleId="Textbubliny">
    <w:name w:val="Balloon Text"/>
    <w:basedOn w:val="Normln"/>
    <w:link w:val="TextbublinyChar"/>
    <w:rsid w:val="00580B0D"/>
    <w:rPr>
      <w:rFonts w:ascii="Segoe UI" w:hAnsi="Segoe UI" w:cs="Segoe UI"/>
      <w:sz w:val="18"/>
      <w:szCs w:val="18"/>
    </w:rPr>
  </w:style>
  <w:style w:type="character" w:customStyle="1" w:styleId="TextbublinyChar">
    <w:name w:val="Text bubliny Char"/>
    <w:basedOn w:val="Standardnpsmoodstavce"/>
    <w:link w:val="Textbubliny"/>
    <w:rsid w:val="00580B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217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2</Pages>
  <Words>401</Words>
  <Characters>2367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Pöyry Environment a.s.</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Svancara, Jiri_x000d_</dc:creator>
  <cp:lastModifiedBy>. .</cp:lastModifiedBy>
  <cp:revision>37</cp:revision>
  <cp:lastPrinted>1900-12-31T23:00:00Z</cp:lastPrinted>
  <dcterms:created xsi:type="dcterms:W3CDTF">2020-02-20T08:46:00Z</dcterms:created>
  <dcterms:modified xsi:type="dcterms:W3CDTF">2020-08-17T15:51:00Z</dcterms:modified>
</cp:coreProperties>
</file>